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eastAsia="楷体_GB2312"/>
          <w:sz w:val="34"/>
          <w:szCs w:val="34"/>
          <w:lang w:eastAsia="zh-CN"/>
        </w:rPr>
      </w:pPr>
      <w:bookmarkStart w:id="0" w:name="_GoBack"/>
      <w:bookmarkEnd w:id="0"/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2023年马克思主义学院大学生创业大赛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不用填写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C. 城市治理和社会服务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作品文本包括20页ppt介绍材料和20页佐证材料。</w:t>
      </w:r>
    </w:p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>
      <w:pPr>
        <w:numPr>
          <w:ilvl w:val="0"/>
          <w:numId w:val="0"/>
        </w:numPr>
        <w:spacing w:line="400" w:lineRule="exact"/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介绍材料、佐证材料如超过规定页数，将直接删除超页</w:t>
      </w:r>
      <w:r>
        <w:rPr>
          <w:rFonts w:hint="eastAsia" w:eastAsia="仿宋_GB2312" w:cs="Times New Roman"/>
          <w:spacing w:val="-23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DJlNzBjOGRlN2JlY2JmZjdjYTBiNzZmNjk2ZTkifQ=="/>
  </w:docVars>
  <w:rsids>
    <w:rsidRoot w:val="3CBE78D1"/>
    <w:rsid w:val="2E28048B"/>
    <w:rsid w:val="3CBE78D1"/>
    <w:rsid w:val="40145BE2"/>
    <w:rsid w:val="6ACB1E03"/>
    <w:rsid w:val="750F3DAF"/>
    <w:rsid w:val="788C08A0"/>
    <w:rsid w:val="DC5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666</Words>
  <Characters>697</Characters>
  <Lines>0</Lines>
  <Paragraphs>0</Paragraphs>
  <TotalTime>4</TotalTime>
  <ScaleCrop>false</ScaleCrop>
  <LinksUpToDate>false</LinksUpToDate>
  <CharactersWithSpaces>727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2023-09-27T15:41:00Z</dcterms:created>
  <dc:creator>孙奥硕</dc:creator>
  <cp:lastModifiedBy>yuanjiayi</cp:lastModifiedBy>
  <dcterms:modified xsi:type="dcterms:W3CDTF">2024-07-07T22:28:52Z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991AA7303B33B9CB24A68A66CE23B3A4_43</vt:lpwstr>
  </property>
</Properties>
</file>